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10EC32A" wp14:editId="1E61E10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C6266" w:rsidRPr="005C6266" w:rsidRDefault="005C6266" w:rsidP="005C62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C6266">
        <w:rPr>
          <w:rFonts w:ascii="Arial" w:hAnsi="Arial" w:cs="Arial"/>
          <w:b/>
          <w:color w:val="000000"/>
        </w:rPr>
        <w:t>LA INDEPENDENCIA</w:t>
      </w:r>
    </w:p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C6266">
        <w:rPr>
          <w:rFonts w:ascii="Arial" w:hAnsi="Arial" w:cs="Arial"/>
          <w:color w:val="000000"/>
        </w:rPr>
        <w:t>El proceso de independencia planteó una serie de conflictos internos en las colonias a nivel administrativo, debido a la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inexperiencia en la construcción de modelos de gobierno. Por lo anterior, se vivió un período de inestabilidad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institucional, divergencias políticas y enfrentamientos ideológicos entre los llamados monárquicos o </w:t>
      </w:r>
      <w:r w:rsidR="005A6FF5" w:rsidRPr="005C6266">
        <w:rPr>
          <w:rFonts w:ascii="Arial" w:hAnsi="Arial" w:cs="Arial"/>
          <w:color w:val="000000"/>
        </w:rPr>
        <w:t>realistas,</w:t>
      </w:r>
      <w:r w:rsidRPr="005C6266">
        <w:rPr>
          <w:rFonts w:ascii="Arial" w:hAnsi="Arial" w:cs="Arial"/>
          <w:color w:val="000000"/>
        </w:rPr>
        <w:t xml:space="preserve"> partidarios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de conservar la tradición, la monarquía y el sistema colonial, y los denominados liberales o </w:t>
      </w:r>
      <w:proofErr w:type="gramStart"/>
      <w:r w:rsidRPr="005C6266">
        <w:rPr>
          <w:rFonts w:ascii="Arial" w:hAnsi="Arial" w:cs="Arial"/>
          <w:color w:val="000000"/>
        </w:rPr>
        <w:t>patriotas ,seguidores</w:t>
      </w:r>
      <w:proofErr w:type="gramEnd"/>
      <w:r w:rsidRPr="005C6266">
        <w:rPr>
          <w:rFonts w:ascii="Arial" w:hAnsi="Arial" w:cs="Arial"/>
          <w:color w:val="000000"/>
        </w:rPr>
        <w:t xml:space="preserve"> del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sistema republicano como forma de gobierno y la democracia como sistema político. Este período comprendido entre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1810</w:t>
      </w:r>
      <w:r w:rsidR="00104C29"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y 1815 se denominó Patria Boba y se caracterizó por los conflictos internos y e</w:t>
      </w:r>
      <w:r w:rsidR="0064262D">
        <w:rPr>
          <w:rFonts w:ascii="Arial" w:hAnsi="Arial" w:cs="Arial"/>
          <w:color w:val="000000"/>
        </w:rPr>
        <w:t xml:space="preserve">l </w:t>
      </w:r>
      <w:bookmarkStart w:id="0" w:name="_GoBack"/>
      <w:bookmarkEnd w:id="0"/>
      <w:r w:rsidR="00104C29">
        <w:rPr>
          <w:rFonts w:ascii="Arial" w:hAnsi="Arial" w:cs="Arial"/>
          <w:color w:val="000000"/>
        </w:rPr>
        <w:t>sur</w:t>
      </w:r>
      <w:r w:rsidR="0064262D">
        <w:rPr>
          <w:rFonts w:ascii="Arial" w:hAnsi="Arial" w:cs="Arial"/>
          <w:color w:val="000000"/>
        </w:rPr>
        <w:t>gimient</w:t>
      </w:r>
      <w:r w:rsidRPr="005C6266"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tendencias políticas como el Federalismo y el centralismo. </w:t>
      </w:r>
    </w:p>
    <w:p w:rsidR="005A6FF5" w:rsidRPr="005C6266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6FF5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C6266">
        <w:rPr>
          <w:rFonts w:ascii="Arial" w:hAnsi="Arial" w:cs="Arial"/>
          <w:color w:val="000000"/>
        </w:rPr>
        <w:t>Los neogranadinos se preocuparon más por la consolidación de la soberanía de las provincias; la Nueva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Granada se hallaba dividida en quince provincias cuando se efectuó la separación de España; estas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fueron: Santa Fe, Tunja, Socorro, Pamplona, Santa Marta, Cartagena, Riohacha, Panamá, Veraguas,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Chocó, Antioquia, Popayán, Mariquita, Neiva y Casanare. </w:t>
      </w: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66" w:rsidRP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C6266">
        <w:rPr>
          <w:rFonts w:ascii="Arial" w:hAnsi="Arial" w:cs="Arial"/>
          <w:color w:val="000000"/>
        </w:rPr>
        <w:t>La provincia de Santa Fe convocó a representantes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de todas las provincias, con el fin de lograr un acuerdo sobre la forma de gobierno que se debía adoptar. Desconfiando</w:t>
      </w:r>
    </w:p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5C6266">
        <w:rPr>
          <w:rFonts w:ascii="Arial" w:hAnsi="Arial" w:cs="Arial"/>
          <w:color w:val="000000"/>
        </w:rPr>
        <w:t>de</w:t>
      </w:r>
      <w:proofErr w:type="gramEnd"/>
      <w:r w:rsidRPr="005C6266">
        <w:rPr>
          <w:rFonts w:ascii="Arial" w:hAnsi="Arial" w:cs="Arial"/>
          <w:color w:val="000000"/>
        </w:rPr>
        <w:t xml:space="preserve"> esta ciudad, algunas provincias que guardaban intereses económicos y políticos propios mostraron su descontento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con la poca participación y asistencia; entre ellas estaban: Antioquia, zona minera; el puerto de Cartagena, centro de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comercio e importación; Tunja y Socorro, con una importante agricultura y manufactura. </w:t>
      </w:r>
    </w:p>
    <w:p w:rsidR="005A6FF5" w:rsidRPr="005C6266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6FF5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C6266">
        <w:rPr>
          <w:rFonts w:ascii="Arial" w:hAnsi="Arial" w:cs="Arial"/>
          <w:color w:val="000000"/>
        </w:rPr>
        <w:t>En noviembre de 1811, las más importantes provincias de la Nueva Granada se asociaron en la Confederación de las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Provincias Unidas de la Nueva Granada. Tunja, Antioquia, Cartagena, Mariquita y Neiva promulgaron su propia</w:t>
      </w:r>
      <w:r w:rsidR="005A6FF5"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Constitución. </w:t>
      </w: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C6266">
        <w:rPr>
          <w:rFonts w:ascii="Arial" w:hAnsi="Arial" w:cs="Arial"/>
          <w:color w:val="000000"/>
        </w:rPr>
        <w:t>También Santa Fe formó un Estado propio, constituyéndose en la República de Cundinamarca, con la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Constitución de abril de 1812. Ante la división existente, se </w:t>
      </w:r>
      <w:r w:rsidR="00104C29" w:rsidRPr="005C6266">
        <w:rPr>
          <w:rFonts w:ascii="Arial" w:hAnsi="Arial" w:cs="Arial"/>
          <w:color w:val="000000"/>
        </w:rPr>
        <w:t>proclamó</w:t>
      </w:r>
      <w:r w:rsidRPr="005C6266">
        <w:rPr>
          <w:rFonts w:ascii="Arial" w:hAnsi="Arial" w:cs="Arial"/>
          <w:color w:val="000000"/>
        </w:rPr>
        <w:t xml:space="preserve"> fidelidad al rey español Fernando VII y se nombró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presidente de Cundinamarca a Jorge Tadeo Lozano. Lozano deseaba conformar departamentos con una extensión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suficiente para autoabastecerse y eliminar las pequeñas provincias. Antonio Nariño se opuso a estas ideas federalistas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desde el periódico la </w:t>
      </w: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C6266">
        <w:rPr>
          <w:rFonts w:ascii="Arial" w:hAnsi="Arial" w:cs="Arial"/>
          <w:color w:val="000000"/>
        </w:rPr>
        <w:t>Bagatela y ante la crisis del gobierno de Cundinamarca y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la renuncia del presidente </w:t>
      </w: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C6266">
        <w:rPr>
          <w:rFonts w:ascii="Arial" w:hAnsi="Arial" w:cs="Arial"/>
          <w:color w:val="000000"/>
        </w:rPr>
        <w:t>Lozano, los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>cundinamarqueses nombraron a Nariño como dirigente, quien desde entonces fijó la política que Cundinamarca debía</w:t>
      </w:r>
      <w:r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seguir respecto de la unidad centralista del Nuevo </w:t>
      </w:r>
    </w:p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66" w:rsidRPr="005C6266" w:rsidRDefault="005C6266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266">
        <w:rPr>
          <w:rFonts w:ascii="Arial" w:hAnsi="Arial" w:cs="Arial"/>
          <w:color w:val="000000"/>
        </w:rPr>
        <w:t>Reino de Granada. Pero las provincias de Santa Marta y Pasto</w:t>
      </w:r>
      <w:r w:rsidR="005A6FF5">
        <w:rPr>
          <w:rFonts w:ascii="Arial" w:hAnsi="Arial" w:cs="Arial"/>
          <w:color w:val="000000"/>
        </w:rPr>
        <w:t xml:space="preserve"> </w:t>
      </w:r>
      <w:r w:rsidRPr="005C6266">
        <w:rPr>
          <w:rFonts w:ascii="Arial" w:hAnsi="Arial" w:cs="Arial"/>
          <w:color w:val="000000"/>
        </w:rPr>
        <w:t xml:space="preserve">permanecieron fieles a la Corona española. </w:t>
      </w:r>
    </w:p>
    <w:p w:rsidR="005C6266" w:rsidRDefault="005C6266" w:rsidP="005C6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C6266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ACTIVIDADES:  </w:t>
      </w:r>
    </w:p>
    <w:p w:rsidR="00104C29" w:rsidRDefault="00104C29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4C29" w:rsidRPr="00104C29" w:rsidRDefault="00104C29" w:rsidP="00104C2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4C29">
        <w:rPr>
          <w:rFonts w:ascii="Arial" w:hAnsi="Arial" w:cs="Arial"/>
        </w:rPr>
        <w:t>Elabora una sopa de letras con palabras que se encuentren en la lectura.</w:t>
      </w:r>
    </w:p>
    <w:p w:rsidR="00104C29" w:rsidRDefault="00104C29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4C29" w:rsidRDefault="00104C29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4926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104C29" w:rsidTr="00104C29">
        <w:trPr>
          <w:trHeight w:val="538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4C29" w:rsidTr="00104C29">
        <w:trPr>
          <w:trHeight w:val="509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4C29" w:rsidTr="00104C29">
        <w:trPr>
          <w:trHeight w:val="538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4C29" w:rsidTr="00104C29">
        <w:trPr>
          <w:trHeight w:val="509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4C29" w:rsidTr="00104C29">
        <w:trPr>
          <w:trHeight w:val="538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4C29" w:rsidTr="00104C29">
        <w:trPr>
          <w:trHeight w:val="509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4C29" w:rsidTr="00104C29">
        <w:trPr>
          <w:trHeight w:val="538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4C29" w:rsidTr="00104C29">
        <w:trPr>
          <w:trHeight w:val="538"/>
        </w:trPr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</w:tcPr>
          <w:p w:rsidR="00104C29" w:rsidRDefault="00104C29" w:rsidP="00AE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04C29" w:rsidRDefault="00104C29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6FF5" w:rsidRDefault="00104C29" w:rsidP="00104C29">
      <w:pPr>
        <w:pStyle w:val="Ttulo1"/>
        <w:numPr>
          <w:ilvl w:val="0"/>
          <w:numId w:val="3"/>
        </w:numP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A6FF5" w:rsidRPr="005A6FF5">
        <w:rPr>
          <w:rFonts w:ascii="Arial" w:hAnsi="Arial" w:cs="Arial"/>
          <w:b w:val="0"/>
          <w:color w:val="auto"/>
          <w:sz w:val="22"/>
          <w:szCs w:val="22"/>
        </w:rPr>
        <w:t xml:space="preserve"> Consulta que es el centralismo y que es el Federalismo</w:t>
      </w:r>
      <w:r w:rsidR="005A6FF5">
        <w:rPr>
          <w:rFonts w:ascii="Arial" w:hAnsi="Arial" w:cs="Arial"/>
          <w:b w:val="0"/>
          <w:color w:val="auto"/>
          <w:sz w:val="22"/>
          <w:szCs w:val="22"/>
        </w:rPr>
        <w:t xml:space="preserve"> y el centralismo</w:t>
      </w:r>
    </w:p>
    <w:p w:rsidR="005A6FF5" w:rsidRPr="005A6FF5" w:rsidRDefault="005A6FF5" w:rsidP="005A6FF5"/>
    <w:p w:rsidR="005A6FF5" w:rsidRPr="005A6FF5" w:rsidRDefault="005A6FF5" w:rsidP="00104C2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6FF5">
        <w:rPr>
          <w:rFonts w:ascii="Arial" w:hAnsi="Arial" w:cs="Arial"/>
        </w:rPr>
        <w:t>Cuáles fueron las primeras provincias que se formaron en Colombia</w:t>
      </w:r>
    </w:p>
    <w:p w:rsidR="005A6FF5" w:rsidRPr="005A6FF5" w:rsidRDefault="005A6FF5" w:rsidP="005A6FF5">
      <w:pPr>
        <w:rPr>
          <w:rFonts w:ascii="Arial" w:hAnsi="Arial" w:cs="Arial"/>
        </w:rPr>
      </w:pPr>
    </w:p>
    <w:p w:rsidR="005A6FF5" w:rsidRDefault="005A6FF5" w:rsidP="00104C2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A6FF5">
        <w:rPr>
          <w:rFonts w:ascii="Arial" w:hAnsi="Arial" w:cs="Arial"/>
        </w:rPr>
        <w:t xml:space="preserve"> Tras la independ</w:t>
      </w:r>
      <w:r>
        <w:rPr>
          <w:rFonts w:ascii="Arial" w:hAnsi="Arial" w:cs="Arial"/>
        </w:rPr>
        <w:t>en</w:t>
      </w:r>
      <w:r w:rsidRPr="005A6FF5">
        <w:rPr>
          <w:rFonts w:ascii="Arial" w:hAnsi="Arial" w:cs="Arial"/>
        </w:rPr>
        <w:t>cia cuales fueron los primeros presidentes nombrados.</w:t>
      </w:r>
    </w:p>
    <w:p w:rsidR="005A6FF5" w:rsidRPr="005A6FF5" w:rsidRDefault="005A6FF5" w:rsidP="005A6FF5">
      <w:pPr>
        <w:pStyle w:val="Prrafodelista"/>
        <w:rPr>
          <w:rFonts w:ascii="Arial" w:hAnsi="Arial" w:cs="Arial"/>
        </w:rPr>
      </w:pPr>
    </w:p>
    <w:p w:rsidR="005A6FF5" w:rsidRPr="005A6FF5" w:rsidRDefault="005A6FF5" w:rsidP="005A6FF5">
      <w:pPr>
        <w:pStyle w:val="Prrafodelista"/>
        <w:rPr>
          <w:rFonts w:ascii="Arial" w:hAnsi="Arial" w:cs="Arial"/>
        </w:rPr>
      </w:pPr>
    </w:p>
    <w:p w:rsidR="005A6FF5" w:rsidRPr="005A6FF5" w:rsidRDefault="005A6FF5" w:rsidP="00104C29">
      <w:pPr>
        <w:pStyle w:val="Prrafodelista"/>
        <w:numPr>
          <w:ilvl w:val="0"/>
          <w:numId w:val="3"/>
        </w:numPr>
      </w:pPr>
      <w:r>
        <w:rPr>
          <w:rFonts w:ascii="Arial" w:hAnsi="Arial" w:cs="Arial"/>
        </w:rPr>
        <w:t xml:space="preserve"> </w:t>
      </w:r>
      <w:r w:rsidRPr="005A6FF5">
        <w:rPr>
          <w:rFonts w:ascii="Arial" w:hAnsi="Arial" w:cs="Arial"/>
        </w:rPr>
        <w:t>Cual fue la fecha en que se promulgo la primera constitución.</w:t>
      </w:r>
    </w:p>
    <w:sectPr w:rsidR="005A6FF5" w:rsidRPr="005A6FF5" w:rsidSect="00253FCA">
      <w:pgSz w:w="12240" w:h="20160" w:code="5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77" w:rsidRDefault="00C53977" w:rsidP="004959C4">
      <w:pPr>
        <w:spacing w:after="0" w:line="240" w:lineRule="auto"/>
      </w:pPr>
      <w:r>
        <w:separator/>
      </w:r>
    </w:p>
  </w:endnote>
  <w:endnote w:type="continuationSeparator" w:id="0">
    <w:p w:rsidR="00C53977" w:rsidRDefault="00C53977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77" w:rsidRDefault="00C53977" w:rsidP="004959C4">
      <w:pPr>
        <w:spacing w:after="0" w:line="240" w:lineRule="auto"/>
      </w:pPr>
      <w:r>
        <w:separator/>
      </w:r>
    </w:p>
  </w:footnote>
  <w:footnote w:type="continuationSeparator" w:id="0">
    <w:p w:rsidR="00C53977" w:rsidRDefault="00C53977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7DB"/>
    <w:multiLevelType w:val="hybridMultilevel"/>
    <w:tmpl w:val="A760A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65BA"/>
    <w:multiLevelType w:val="hybridMultilevel"/>
    <w:tmpl w:val="A57E7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04C29"/>
    <w:rsid w:val="00171EA6"/>
    <w:rsid w:val="001909FA"/>
    <w:rsid w:val="00253FCA"/>
    <w:rsid w:val="00457486"/>
    <w:rsid w:val="004959C4"/>
    <w:rsid w:val="00516C79"/>
    <w:rsid w:val="005513F7"/>
    <w:rsid w:val="005A6FF5"/>
    <w:rsid w:val="005C6266"/>
    <w:rsid w:val="005C755E"/>
    <w:rsid w:val="00631AF2"/>
    <w:rsid w:val="0064262D"/>
    <w:rsid w:val="006558E8"/>
    <w:rsid w:val="00663ED5"/>
    <w:rsid w:val="006A50D5"/>
    <w:rsid w:val="006F6E9A"/>
    <w:rsid w:val="007A0D72"/>
    <w:rsid w:val="007B0B88"/>
    <w:rsid w:val="00863BA4"/>
    <w:rsid w:val="00877339"/>
    <w:rsid w:val="00950172"/>
    <w:rsid w:val="0099621D"/>
    <w:rsid w:val="00AB2FDF"/>
    <w:rsid w:val="00AC4979"/>
    <w:rsid w:val="00AE1D40"/>
    <w:rsid w:val="00B15AC3"/>
    <w:rsid w:val="00B54828"/>
    <w:rsid w:val="00B91C7C"/>
    <w:rsid w:val="00B91E29"/>
    <w:rsid w:val="00BC3549"/>
    <w:rsid w:val="00BD6A37"/>
    <w:rsid w:val="00C50D32"/>
    <w:rsid w:val="00C53977"/>
    <w:rsid w:val="00CA3501"/>
    <w:rsid w:val="00D31700"/>
    <w:rsid w:val="00D358E1"/>
    <w:rsid w:val="00D560AF"/>
    <w:rsid w:val="00ED66DB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Consulta que es el centralismo y que es el Federalismo y el centralismo</vt:lpstr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cp:lastPrinted>2015-02-09T01:04:00Z</cp:lastPrinted>
  <dcterms:created xsi:type="dcterms:W3CDTF">2015-02-09T10:02:00Z</dcterms:created>
  <dcterms:modified xsi:type="dcterms:W3CDTF">2015-02-09T10:02:00Z</dcterms:modified>
</cp:coreProperties>
</file>